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06BEB" w14:textId="73E67DFB" w:rsidR="00B36740" w:rsidRDefault="00A570A7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 w:rsidRPr="6C3E225B">
        <w:rPr>
          <w:b/>
          <w:bCs/>
          <w:color w:val="303030"/>
          <w:sz w:val="21"/>
          <w:szCs w:val="21"/>
          <w:highlight w:val="white"/>
        </w:rPr>
        <w:t>Pre-Bid Collaboration Agreement (The "Pre-</w:t>
      </w:r>
      <w:proofErr w:type="spellStart"/>
      <w:r w:rsidRPr="6C3E225B">
        <w:rPr>
          <w:b/>
          <w:bCs/>
          <w:color w:val="303030"/>
          <w:sz w:val="21"/>
          <w:szCs w:val="21"/>
          <w:highlight w:val="white"/>
        </w:rPr>
        <w:t>Nup</w:t>
      </w:r>
      <w:proofErr w:type="spellEnd"/>
      <w:r w:rsidRPr="6C3E225B">
        <w:rPr>
          <w:b/>
          <w:bCs/>
          <w:color w:val="303030"/>
          <w:sz w:val="21"/>
          <w:szCs w:val="21"/>
          <w:highlight w:val="white"/>
        </w:rPr>
        <w:t>")</w:t>
      </w:r>
    </w:p>
    <w:p w14:paraId="39379F95" w14:textId="77777777" w:rsidR="00B36740" w:rsidRDefault="00A570A7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Purpose:</w:t>
      </w:r>
      <w:r>
        <w:rPr>
          <w:color w:val="303030"/>
          <w:sz w:val="21"/>
          <w:szCs w:val="21"/>
          <w:highlight w:val="white"/>
        </w:rPr>
        <w:t xml:space="preserve"> To solve the </w:t>
      </w:r>
      <w:r>
        <w:rPr>
          <w:b/>
          <w:bCs/>
          <w:color w:val="303030"/>
          <w:sz w:val="21"/>
          <w:szCs w:val="21"/>
          <w:highlight w:val="white"/>
        </w:rPr>
        <w:t>"Competition Paradox."</w:t>
      </w:r>
      <w:r>
        <w:rPr>
          <w:color w:val="303030"/>
          <w:sz w:val="21"/>
          <w:szCs w:val="21"/>
          <w:highlight w:val="white"/>
        </w:rPr>
        <w:t xml:space="preserve"> This document protects Intellectual Property (IP) shared during the bid-writing phase and sets clear boundaries, ensuring partners feel safe to share "trade secrets."</w:t>
      </w:r>
    </w:p>
    <w:p w14:paraId="70D8DAA7" w14:textId="77777777" w:rsidR="00B36740" w:rsidRDefault="00A570A7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HEADS OF TERMS: PRE-BID COLLABORATION</w:t>
      </w:r>
    </w:p>
    <w:p w14:paraId="1D352D7C" w14:textId="77777777" w:rsidR="00B36740" w:rsidRDefault="00A570A7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1. The Opportunity:</w:t>
      </w:r>
      <w:r>
        <w:rPr>
          <w:color w:val="303030"/>
          <w:sz w:val="21"/>
          <w:szCs w:val="21"/>
          <w:highlight w:val="white"/>
        </w:rPr>
        <w:t xml:space="preserve"> [Insert Name of Tender/Grant] </w:t>
      </w:r>
    </w:p>
    <w:p w14:paraId="7D7D485D" w14:textId="77777777" w:rsidR="00B36740" w:rsidRDefault="00A570A7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2. The Parties:</w:t>
      </w:r>
      <w:r>
        <w:rPr>
          <w:color w:val="303030"/>
          <w:sz w:val="21"/>
          <w:szCs w:val="21"/>
          <w:highlight w:val="white"/>
        </w:rPr>
        <w:t xml:space="preserve"> [Lead Organisation] and [Partner Organisation]</w:t>
      </w:r>
    </w:p>
    <w:p w14:paraId="2E3E731E" w14:textId="77777777" w:rsidR="00B36740" w:rsidRDefault="00A570A7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3. Intellectual Property (The "Brain Drain" Clause)</w:t>
      </w:r>
    </w:p>
    <w:p w14:paraId="2BB396CC" w14:textId="77777777" w:rsidR="00B36740" w:rsidRDefault="00A570A7">
      <w:pPr>
        <w:spacing w:before="240" w:after="240"/>
        <w:ind w:left="72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"The Parties acknowledge that during the bid-writing process, they may share sensitive methodologies, data, service designs, and budget models ('Confidential Information'). </w:t>
      </w:r>
      <w:r>
        <w:rPr>
          <w:b/>
          <w:bCs/>
          <w:color w:val="303030"/>
          <w:sz w:val="21"/>
          <w:szCs w:val="21"/>
          <w:highlight w:val="white"/>
        </w:rPr>
        <w:t>Protection of IP:</w:t>
      </w:r>
      <w:r>
        <w:rPr>
          <w:color w:val="303030"/>
          <w:sz w:val="21"/>
          <w:szCs w:val="21"/>
          <w:highlight w:val="white"/>
        </w:rPr>
        <w:t xml:space="preserve"> All service designs and methodologies remain the sole property of the originating Party. </w:t>
      </w:r>
      <w:r>
        <w:rPr>
          <w:b/>
          <w:bCs/>
          <w:color w:val="303030"/>
          <w:sz w:val="21"/>
          <w:szCs w:val="21"/>
          <w:highlight w:val="white"/>
        </w:rPr>
        <w:t>If this bid is unsuccessful:</w:t>
      </w:r>
      <w:r>
        <w:rPr>
          <w:color w:val="303030"/>
          <w:sz w:val="21"/>
          <w:szCs w:val="21"/>
          <w:highlight w:val="white"/>
        </w:rPr>
        <w:t xml:space="preserve"> The Parties agree </w:t>
      </w:r>
      <w:r>
        <w:rPr>
          <w:b/>
          <w:bCs/>
          <w:color w:val="303030"/>
          <w:sz w:val="21"/>
          <w:szCs w:val="21"/>
          <w:highlight w:val="white"/>
        </w:rPr>
        <w:t>NOT</w:t>
      </w:r>
      <w:r>
        <w:rPr>
          <w:color w:val="303030"/>
          <w:sz w:val="21"/>
          <w:szCs w:val="21"/>
          <w:highlight w:val="white"/>
        </w:rPr>
        <w:t xml:space="preserve"> to use the specific service designs, data, or IP shared by the other Party to pursue this opportunity independently or with different partners for a period of </w:t>
      </w:r>
      <w:r>
        <w:rPr>
          <w:b/>
          <w:bCs/>
          <w:color w:val="303030"/>
          <w:sz w:val="21"/>
          <w:szCs w:val="21"/>
          <w:highlight w:val="white"/>
        </w:rPr>
        <w:t>12 months</w:t>
      </w:r>
      <w:r>
        <w:rPr>
          <w:color w:val="303030"/>
          <w:sz w:val="21"/>
          <w:szCs w:val="21"/>
          <w:highlight w:val="white"/>
        </w:rPr>
        <w:t>, without express written permission."</w:t>
      </w:r>
    </w:p>
    <w:p w14:paraId="0310AE9F" w14:textId="77777777" w:rsidR="00B36740" w:rsidRDefault="00A570A7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4. Exclusivity Clause</w:t>
      </w:r>
    </w:p>
    <w:p w14:paraId="2FBC0632" w14:textId="77777777" w:rsidR="00B36740" w:rsidRDefault="00A570A7">
      <w:pPr>
        <w:spacing w:before="240" w:after="240"/>
        <w:ind w:left="72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>"During this tender window, the Parties agree to work exclusively with each other for this specific lot/opportunity. We agree not to join competing consortia for the same funding pot."</w:t>
      </w:r>
    </w:p>
    <w:p w14:paraId="57A34B87" w14:textId="77777777" w:rsidR="00B36740" w:rsidRDefault="00A570A7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5. The "Money Split" Principle (Agreed in Principle)</w:t>
      </w:r>
    </w:p>
    <w:p w14:paraId="24676AEB" w14:textId="77777777" w:rsidR="00B36740" w:rsidRDefault="00A570A7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>“If successful, the parties agree to the following financial principles:</w:t>
      </w:r>
    </w:p>
    <w:p w14:paraId="579D0E95" w14:textId="77777777" w:rsidR="00B36740" w:rsidRDefault="00A570A7">
      <w:pPr>
        <w:numPr>
          <w:ilvl w:val="0"/>
          <w:numId w:val="1"/>
        </w:numPr>
        <w:spacing w:before="240"/>
        <w:rPr>
          <w:color w:val="222222"/>
          <w:sz w:val="24"/>
          <w:szCs w:val="24"/>
        </w:rPr>
      </w:pPr>
      <w:r>
        <w:rPr>
          <w:b/>
          <w:bCs/>
          <w:color w:val="303030"/>
          <w:sz w:val="21"/>
          <w:szCs w:val="21"/>
          <w:highlight w:val="white"/>
        </w:rPr>
        <w:t>Lead Fee:</w:t>
      </w:r>
      <w:r>
        <w:rPr>
          <w:color w:val="303030"/>
          <w:sz w:val="21"/>
          <w:szCs w:val="21"/>
          <w:highlight w:val="white"/>
        </w:rPr>
        <w:t xml:space="preserve"> The Lead Partner will retain </w:t>
      </w:r>
      <w:r w:rsidRPr="00FF1FFA">
        <w:rPr>
          <w:color w:val="303030"/>
          <w:sz w:val="21"/>
          <w:szCs w:val="21"/>
          <w:highlight w:val="white"/>
        </w:rPr>
        <w:t xml:space="preserve">[e.g., 10–15%] </w:t>
      </w:r>
      <w:r>
        <w:rPr>
          <w:color w:val="303030"/>
          <w:sz w:val="21"/>
          <w:szCs w:val="21"/>
          <w:highlight w:val="white"/>
        </w:rPr>
        <w:t>of the total contract value to cover Contract Management, Liability Risk, and Central Reporting.</w:t>
      </w:r>
    </w:p>
    <w:p w14:paraId="640FA31A" w14:textId="77777777" w:rsidR="00B36740" w:rsidRDefault="00A570A7">
      <w:pPr>
        <w:numPr>
          <w:ilvl w:val="0"/>
          <w:numId w:val="1"/>
        </w:numPr>
        <w:rPr>
          <w:color w:val="222222"/>
          <w:sz w:val="24"/>
          <w:szCs w:val="24"/>
        </w:rPr>
      </w:pPr>
      <w:r>
        <w:rPr>
          <w:b/>
          <w:bCs/>
          <w:color w:val="303030"/>
          <w:sz w:val="21"/>
          <w:szCs w:val="21"/>
          <w:highlight w:val="white"/>
        </w:rPr>
        <w:t>Delivery Split:</w:t>
      </w:r>
      <w:r>
        <w:rPr>
          <w:color w:val="303030"/>
          <w:sz w:val="21"/>
          <w:szCs w:val="21"/>
          <w:highlight w:val="white"/>
        </w:rPr>
        <w:t xml:space="preserve"> The remaining funds will be passed to Delivery Partners based on [Volume of Beneficiaries / Geographic Reach].</w:t>
      </w:r>
    </w:p>
    <w:p w14:paraId="728E92CA" w14:textId="77777777" w:rsidR="00B36740" w:rsidRDefault="00A570A7">
      <w:pPr>
        <w:numPr>
          <w:ilvl w:val="0"/>
          <w:numId w:val="1"/>
        </w:numPr>
        <w:spacing w:after="240"/>
        <w:rPr>
          <w:color w:val="222222"/>
          <w:sz w:val="24"/>
          <w:szCs w:val="24"/>
        </w:rPr>
      </w:pPr>
      <w:r>
        <w:rPr>
          <w:b/>
          <w:bCs/>
          <w:color w:val="303030"/>
          <w:sz w:val="21"/>
          <w:szCs w:val="21"/>
          <w:highlight w:val="white"/>
        </w:rPr>
        <w:t>Transparency:</w:t>
      </w:r>
      <w:r>
        <w:rPr>
          <w:color w:val="303030"/>
          <w:sz w:val="21"/>
          <w:szCs w:val="21"/>
          <w:highlight w:val="white"/>
        </w:rPr>
        <w:t xml:space="preserve"> All budget calculations will be shared openly between partners ('Open Book Accounting')."</w:t>
      </w:r>
    </w:p>
    <w:p w14:paraId="672A6659" w14:textId="77777777" w:rsidR="00B36740" w:rsidRDefault="00B36740">
      <w:pPr>
        <w:spacing w:before="240" w:after="240"/>
        <w:ind w:left="720"/>
        <w:rPr>
          <w:color w:val="222222"/>
          <w:sz w:val="24"/>
          <w:szCs w:val="24"/>
        </w:rPr>
      </w:pPr>
    </w:p>
    <w:p w14:paraId="0A37501D" w14:textId="77777777" w:rsidR="00B36740" w:rsidRDefault="00B36740">
      <w:pPr>
        <w:spacing w:before="240" w:after="240"/>
        <w:rPr>
          <w:color w:val="222222"/>
          <w:sz w:val="24"/>
          <w:szCs w:val="24"/>
        </w:rPr>
      </w:pPr>
    </w:p>
    <w:sectPr w:rsidR="00B36740">
      <w:headerReference w:type="default" r:id="rId10"/>
      <w:footerReference w:type="default" r:id="rId11"/>
      <w:pgSz w:w="11909" w:h="16834"/>
      <w:pgMar w:top="1440" w:right="1440" w:bottom="1440" w:left="1440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E6B74" w14:textId="77777777" w:rsidR="007A7DEA" w:rsidRDefault="007A7DEA">
      <w:pPr>
        <w:spacing w:line="240" w:lineRule="auto"/>
      </w:pPr>
      <w:r>
        <w:separator/>
      </w:r>
    </w:p>
  </w:endnote>
  <w:endnote w:type="continuationSeparator" w:id="0">
    <w:p w14:paraId="611E9CA5" w14:textId="77777777" w:rsidR="007A7DEA" w:rsidRDefault="007A7D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CC51F5-9834-47FA-82D1-2FF441866FE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701B48-1E3E-4C9A-97A8-0B446EDEC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A7255" w14:textId="0E650E2B" w:rsidR="000854A8" w:rsidRDefault="000854A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DD48BC" wp14:editId="5061F835">
              <wp:simplePos x="0" y="0"/>
              <wp:positionH relativeFrom="margin">
                <wp:align>center</wp:align>
              </wp:positionH>
              <wp:positionV relativeFrom="paragraph">
                <wp:posOffset>-483235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441601" id="Group 4" o:spid="_x0000_s1026" style="position:absolute;margin-left:0;margin-top:-38.05pt;width:540.3pt;height:78.5pt;z-index:251659264;mso-position-horizontal:center;mso-position-horizontal-relative:margin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4B082" w14:textId="77777777" w:rsidR="007A7DEA" w:rsidRDefault="007A7DEA">
      <w:pPr>
        <w:spacing w:line="240" w:lineRule="auto"/>
      </w:pPr>
      <w:r>
        <w:separator/>
      </w:r>
    </w:p>
  </w:footnote>
  <w:footnote w:type="continuationSeparator" w:id="0">
    <w:p w14:paraId="181D0E68" w14:textId="77777777" w:rsidR="007A7DEA" w:rsidRDefault="007A7D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C3E225B" w14:paraId="4229AEEC" w14:textId="77777777" w:rsidTr="6C3E225B">
      <w:trPr>
        <w:trHeight w:val="300"/>
      </w:trPr>
      <w:tc>
        <w:tcPr>
          <w:tcW w:w="3005" w:type="dxa"/>
        </w:tcPr>
        <w:p w14:paraId="24E9C735" w14:textId="16FAE988" w:rsidR="6C3E225B" w:rsidRDefault="6C3E225B" w:rsidP="6C3E225B">
          <w:pPr>
            <w:pStyle w:val="Header"/>
            <w:ind w:left="-115"/>
          </w:pPr>
        </w:p>
      </w:tc>
      <w:tc>
        <w:tcPr>
          <w:tcW w:w="3005" w:type="dxa"/>
        </w:tcPr>
        <w:p w14:paraId="21D40C59" w14:textId="485CFA71" w:rsidR="6C3E225B" w:rsidRDefault="6C3E225B" w:rsidP="6C3E225B">
          <w:pPr>
            <w:pStyle w:val="Header"/>
            <w:jc w:val="center"/>
          </w:pPr>
        </w:p>
      </w:tc>
      <w:tc>
        <w:tcPr>
          <w:tcW w:w="3005" w:type="dxa"/>
        </w:tcPr>
        <w:p w14:paraId="17160CB8" w14:textId="402289A7" w:rsidR="6C3E225B" w:rsidRDefault="6C3E225B" w:rsidP="6C3E225B">
          <w:pPr>
            <w:pStyle w:val="Header"/>
            <w:ind w:right="-115"/>
            <w:jc w:val="right"/>
          </w:pPr>
        </w:p>
      </w:tc>
    </w:tr>
  </w:tbl>
  <w:p w14:paraId="3DAA02E1" w14:textId="4497B5EB" w:rsidR="6C3E225B" w:rsidRDefault="6C3E225B" w:rsidP="6C3E22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81F9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9088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740"/>
    <w:rsid w:val="000854A8"/>
    <w:rsid w:val="002830B8"/>
    <w:rsid w:val="0036222C"/>
    <w:rsid w:val="007A7DEA"/>
    <w:rsid w:val="008276BC"/>
    <w:rsid w:val="00A570A7"/>
    <w:rsid w:val="00B36740"/>
    <w:rsid w:val="00FF1FFA"/>
    <w:rsid w:val="6C3E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A7A24"/>
  <w15:docId w15:val="{A374A27B-872F-47A1-BA81-284DE1387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6C3E225B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0854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A68450-EAFA-4EFB-A074-D5E69DEE12BC}">
  <ds:schemaRefs>
    <ds:schemaRef ds:uri="http://schemas.microsoft.com/office/2006/metadata/properties"/>
    <ds:schemaRef ds:uri="http://schemas.microsoft.com/office/infopath/2007/PartnerControls"/>
    <ds:schemaRef ds:uri="a815bb10-6b89-4000-baa5-e4a92457095b"/>
    <ds:schemaRef ds:uri="90747810-fa30-4e08-8122-1e89d97d97e9"/>
  </ds:schemaRefs>
</ds:datastoreItem>
</file>

<file path=customXml/itemProps2.xml><?xml version="1.0" encoding="utf-8"?>
<ds:datastoreItem xmlns:ds="http://schemas.openxmlformats.org/officeDocument/2006/customXml" ds:itemID="{BE2690F2-8164-43D5-9CAA-9E679357D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428D15-1AB9-484A-AE43-C3F8DD6AA9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1445</Characters>
  <Application>Microsoft Office Word</Application>
  <DocSecurity>0</DocSecurity>
  <Lines>36</Lines>
  <Paragraphs>23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Chetwood</cp:lastModifiedBy>
  <cp:revision>5</cp:revision>
  <dcterms:created xsi:type="dcterms:W3CDTF">2026-02-23T15:16:00Z</dcterms:created>
  <dcterms:modified xsi:type="dcterms:W3CDTF">2026-02-24T14:49:00Z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