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66AA4235" w:rsidR="00673F4E" w:rsidRPr="00726159" w:rsidRDefault="004F19BE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 w:rsidRPr="76E5A841">
        <w:rPr>
          <w:b/>
          <w:bCs/>
          <w:color w:val="303030"/>
          <w:sz w:val="21"/>
          <w:szCs w:val="21"/>
          <w:highlight w:val="white"/>
        </w:rPr>
        <w:t>The "Bid-Ready" Decision Matrix</w:t>
      </w:r>
    </w:p>
    <w:p w14:paraId="0F2B0036" w14:textId="77777777" w:rsidR="00673F4E" w:rsidRDefault="004F19BE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Purpose:</w:t>
      </w:r>
      <w:r>
        <w:rPr>
          <w:color w:val="303030"/>
          <w:sz w:val="21"/>
          <w:szCs w:val="21"/>
          <w:highlight w:val="white"/>
        </w:rPr>
        <w:t xml:space="preserve"> To provide an objective, non-emotional framework for assessing funding opportunities. This tool specifically filters out "Toxic Contracts" (those with high risk and low return) identified by local leaders.</w:t>
      </w:r>
    </w:p>
    <w:p w14:paraId="67599FDB" w14:textId="77777777" w:rsidR="00673F4E" w:rsidRDefault="004F19BE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Instructions:</w:t>
      </w:r>
    </w:p>
    <w:p w14:paraId="638A57CD" w14:textId="77777777" w:rsidR="00673F4E" w:rsidRDefault="004F19BE">
      <w:pPr>
        <w:numPr>
          <w:ilvl w:val="0"/>
          <w:numId w:val="1"/>
        </w:numPr>
        <w:spacing w:before="240"/>
        <w:rPr>
          <w:color w:val="222222"/>
          <w:sz w:val="24"/>
          <w:szCs w:val="24"/>
        </w:rPr>
      </w:pPr>
      <w:r>
        <w:rPr>
          <w:color w:val="303030"/>
          <w:sz w:val="21"/>
          <w:szCs w:val="21"/>
          <w:highlight w:val="white"/>
        </w:rPr>
        <w:t xml:space="preserve">1. The </w:t>
      </w:r>
      <w:r>
        <w:rPr>
          <w:b/>
          <w:bCs/>
          <w:color w:val="303030"/>
          <w:sz w:val="21"/>
          <w:szCs w:val="21"/>
          <w:highlight w:val="white"/>
        </w:rPr>
        <w:t>Lead Partner</w:t>
      </w:r>
      <w:r>
        <w:rPr>
          <w:color w:val="303030"/>
          <w:sz w:val="21"/>
          <w:szCs w:val="21"/>
          <w:highlight w:val="white"/>
        </w:rPr>
        <w:t xml:space="preserve"> and </w:t>
      </w:r>
      <w:r>
        <w:rPr>
          <w:b/>
          <w:bCs/>
          <w:color w:val="303030"/>
          <w:sz w:val="21"/>
          <w:szCs w:val="21"/>
          <w:highlight w:val="white"/>
        </w:rPr>
        <w:t>Delivery Partners</w:t>
      </w:r>
      <w:r>
        <w:rPr>
          <w:color w:val="303030"/>
          <w:sz w:val="21"/>
          <w:szCs w:val="21"/>
          <w:highlight w:val="white"/>
        </w:rPr>
        <w:t xml:space="preserve"> should complete this separately.</w:t>
      </w:r>
    </w:p>
    <w:p w14:paraId="66586C93" w14:textId="77777777" w:rsidR="00673F4E" w:rsidRDefault="004F19BE">
      <w:pPr>
        <w:numPr>
          <w:ilvl w:val="0"/>
          <w:numId w:val="1"/>
        </w:numPr>
        <w:spacing w:after="240"/>
        <w:rPr>
          <w:color w:val="222222"/>
          <w:sz w:val="24"/>
          <w:szCs w:val="24"/>
        </w:rPr>
      </w:pPr>
      <w:r>
        <w:rPr>
          <w:color w:val="303030"/>
          <w:sz w:val="21"/>
          <w:szCs w:val="21"/>
          <w:highlight w:val="white"/>
        </w:rPr>
        <w:t>2. Compare scores. If there is a discrepancy (e.g., the Lead scores it a 'Go' but the Grassroots Partner scores it a 'No-Go'), resolve the risk before bidding.</w:t>
      </w:r>
    </w:p>
    <w:tbl>
      <w:tblPr>
        <w:tblStyle w:val="a"/>
        <w:tblW w:w="9930" w:type="dxa"/>
        <w:tblInd w:w="-3" w:type="dxa"/>
        <w:tblBorders>
          <w:top w:val="single" w:sz="4" w:space="0" w:color="CDD2D9"/>
          <w:left w:val="single" w:sz="4" w:space="0" w:color="CDD2D9"/>
          <w:bottom w:val="single" w:sz="4" w:space="0" w:color="CDD2D9"/>
          <w:right w:val="single" w:sz="4" w:space="0" w:color="CDD2D9"/>
          <w:insideH w:val="single" w:sz="4" w:space="0" w:color="CDD2D9"/>
          <w:insideV w:val="single" w:sz="4" w:space="0" w:color="CDD2D9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2145"/>
        <w:gridCol w:w="2475"/>
        <w:gridCol w:w="2070"/>
        <w:gridCol w:w="1710"/>
      </w:tblGrid>
      <w:tr w:rsidR="00673F4E" w14:paraId="262C4014" w14:textId="77777777">
        <w:trPr>
          <w:trHeight w:val="123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52F2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Criteria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EE9B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Red Flag (Score 0)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B81B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Caution (Score 1)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84C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Green Light (Score 2)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5678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Your Score</w:t>
            </w:r>
          </w:p>
        </w:tc>
      </w:tr>
      <w:tr w:rsidR="00673F4E" w14:paraId="2218E19C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D2696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1. Strategic Fit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648D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Mission Drift.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1F215DE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Chasing money to survive. No alignment with charitable objects.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3091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Vague Alignment.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1A5B7D81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Requires creating new services from scratch or stretching current delivery.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CF34E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Direct Fit.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368592E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Aligns perfectly with the current business plan and core expertise.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01D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780E849F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885E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2. Financial Reality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A46CB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Subsidised.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246A88F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Contract value is fixed for 3+ years with no inflation link (Toxic).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6B911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Delivery Only.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5B6F1C04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Covers direct costs but makes no contribution to Core Costs/Overheads.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128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Full Cost Recovery.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0ED8956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Covers Delivery + Core + Management Fee + Inflation Link.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6C7B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3954263E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B6417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3. Inflation Proofing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4A4E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Flat Cash.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3987069E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Contract spans multiple years with 0% uplift clauses.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C6C4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Discretionary.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0143ED45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Review clause exists ("may be reviewed") but is not guaranteed.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B4555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Index-Linked.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6FD899B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Annual uplift explicitly linked to CPI or National Living Wage.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378F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66988E9F" w14:textId="77777777">
        <w:trPr>
          <w:trHeight w:val="231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A67E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lastRenderedPageBreak/>
              <w:t>4. Mobilisation Gap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94A1F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Immediate Start.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05695A8A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Delivery expected on Day 1. No funded setup time.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E9C6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Compressed.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31E39B7E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Short lead-in (2-4 weeks). Recruitment risk is high.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CFEE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Funded Phase.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11FD41B1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A specific 1–</w:t>
            </w:r>
            <w:proofErr w:type="gramStart"/>
            <w:r>
              <w:rPr>
                <w:color w:val="303030"/>
                <w:sz w:val="21"/>
                <w:szCs w:val="21"/>
                <w:highlight w:val="white"/>
              </w:rPr>
              <w:t>3 month</w:t>
            </w:r>
            <w:proofErr w:type="gramEnd"/>
            <w:r>
              <w:rPr>
                <w:color w:val="303030"/>
                <w:sz w:val="21"/>
                <w:szCs w:val="21"/>
                <w:highlight w:val="white"/>
              </w:rPr>
              <w:t xml:space="preserve"> mobilisation phase is built into the budget/timeline.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A809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61842CDA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F1E2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5. Payment Terms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3237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100% Arrears.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68C1B350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Payment by Results or upon completion (High cashflow risk).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FFC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Mixed.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25979073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A combination of upfront and arrears payments.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F1D35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Upfront.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79D99F9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Quarterly or annual payments in advance.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BBE3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2AA1D962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CC677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6. Admin Ratio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450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Disproportionate.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06F4D4B9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High reporting burden (e.g., 40+ page contract) for low value (&lt;£5k).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C87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Moderate.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6810C0C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Standard reporting burden.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5BE6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Light Touch.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6F5E9331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Admin is &lt;10% of the total grant value.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F396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6AD00084" w14:textId="77777777">
        <w:trPr>
          <w:trHeight w:val="195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AB12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7. Partnership Trust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B442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"Shotgun Wedding."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75A002F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Forced partnership for the bid with unknown entities.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E1F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New Partners.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2C50F08B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No history, but good reputation/references.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5274D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Established.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63BB66F5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Pre-existing, high-trust relationship. We know their work.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3D3EC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  <w:tr w:rsidR="00673F4E" w14:paraId="6728354B" w14:textId="77777777">
        <w:trPr>
          <w:trHeight w:val="2315"/>
        </w:trPr>
        <w:tc>
          <w:tcPr>
            <w:tcW w:w="153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1DAB" w14:textId="77777777" w:rsidR="00673F4E" w:rsidRDefault="004F19BE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8. Geographic Scope</w:t>
            </w:r>
          </w:p>
        </w:tc>
        <w:tc>
          <w:tcPr>
            <w:tcW w:w="214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ABF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Mismatch.</w:t>
            </w:r>
          </w:p>
          <w:p w14:paraId="44F16A2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Requires delivery outside our footprint (e.g., West Mercia) with no partners there.</w:t>
            </w:r>
          </w:p>
        </w:tc>
        <w:tc>
          <w:tcPr>
            <w:tcW w:w="247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9608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Regional.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27B605A3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Requires wide reach; we have potential partners but no formal agreement.</w:t>
            </w:r>
          </w:p>
        </w:tc>
        <w:tc>
          <w:tcPr>
            <w:tcW w:w="207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2B52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Local Fit.</w:t>
            </w:r>
            <w:r>
              <w:rPr>
                <w:color w:val="303030"/>
                <w:sz w:val="21"/>
                <w:szCs w:val="21"/>
                <w:highlight w:val="white"/>
              </w:rPr>
              <w:t xml:space="preserve"> </w:t>
            </w:r>
          </w:p>
          <w:p w14:paraId="0AFF9C2C" w14:textId="77777777" w:rsidR="00673F4E" w:rsidRDefault="004F19BE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The delivery area matches our exact footprint (e.g., Telford &amp; Wrekin only).</w:t>
            </w:r>
          </w:p>
        </w:tc>
        <w:tc>
          <w:tcPr>
            <w:tcW w:w="1710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673F4E" w:rsidRDefault="00673F4E">
            <w:pPr>
              <w:spacing w:before="240" w:after="240"/>
              <w:ind w:left="720" w:hanging="360"/>
              <w:rPr>
                <w:color w:val="303030"/>
                <w:sz w:val="21"/>
                <w:szCs w:val="21"/>
                <w:highlight w:val="white"/>
              </w:rPr>
            </w:pPr>
          </w:p>
        </w:tc>
      </w:tr>
    </w:tbl>
    <w:p w14:paraId="07619A6F" w14:textId="77777777" w:rsidR="00442631" w:rsidRPr="00442631" w:rsidRDefault="00442631" w:rsidP="00442631">
      <w:pPr>
        <w:spacing w:before="240"/>
        <w:ind w:left="720"/>
        <w:rPr>
          <w:color w:val="222222"/>
          <w:sz w:val="24"/>
          <w:szCs w:val="24"/>
        </w:rPr>
      </w:pPr>
    </w:p>
    <w:p w14:paraId="34EEBF79" w14:textId="28F2D852" w:rsidR="00673F4E" w:rsidRDefault="004F19BE">
      <w:pPr>
        <w:numPr>
          <w:ilvl w:val="0"/>
          <w:numId w:val="1"/>
        </w:numPr>
        <w:spacing w:before="240"/>
        <w:rPr>
          <w:color w:val="222222"/>
          <w:sz w:val="24"/>
          <w:szCs w:val="24"/>
        </w:rPr>
      </w:pPr>
      <w:r>
        <w:rPr>
          <w:b/>
          <w:bCs/>
          <w:color w:val="303030"/>
          <w:sz w:val="21"/>
          <w:szCs w:val="21"/>
          <w:highlight w:val="white"/>
        </w:rPr>
        <w:lastRenderedPageBreak/>
        <w:t>Decision Guide:</w:t>
      </w:r>
    </w:p>
    <w:p w14:paraId="087203A6" w14:textId="77777777" w:rsidR="00673F4E" w:rsidRDefault="004F19BE">
      <w:pPr>
        <w:numPr>
          <w:ilvl w:val="0"/>
          <w:numId w:val="1"/>
        </w:numPr>
        <w:rPr>
          <w:color w:val="222222"/>
          <w:sz w:val="24"/>
          <w:szCs w:val="24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b/>
          <w:bCs/>
          <w:color w:val="303030"/>
          <w:sz w:val="21"/>
          <w:szCs w:val="21"/>
          <w:highlight w:val="white"/>
        </w:rPr>
        <w:t>&lt; 10 Points: NO-GO.</w:t>
      </w:r>
      <w:r>
        <w:rPr>
          <w:color w:val="303030"/>
          <w:sz w:val="21"/>
          <w:szCs w:val="21"/>
          <w:highlight w:val="white"/>
        </w:rPr>
        <w:t xml:space="preserve"> The risk to reserves and reputation is too high. Do not bid.</w:t>
      </w:r>
    </w:p>
    <w:p w14:paraId="06D27E56" w14:textId="77777777" w:rsidR="00673F4E" w:rsidRDefault="004F19BE">
      <w:pPr>
        <w:numPr>
          <w:ilvl w:val="0"/>
          <w:numId w:val="1"/>
        </w:numPr>
        <w:rPr>
          <w:color w:val="222222"/>
          <w:sz w:val="24"/>
          <w:szCs w:val="24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b/>
          <w:bCs/>
          <w:color w:val="303030"/>
          <w:sz w:val="21"/>
          <w:szCs w:val="21"/>
          <w:highlight w:val="white"/>
        </w:rPr>
        <w:t>10 - 13 Points: PROCEED WITH CAUTION.</w:t>
      </w:r>
      <w:r>
        <w:rPr>
          <w:color w:val="303030"/>
          <w:sz w:val="21"/>
          <w:szCs w:val="21"/>
          <w:highlight w:val="white"/>
        </w:rPr>
        <w:t xml:space="preserve"> Use the "Push-Back" Scripts (Tool 4) to negotiate on Red Flag areas.</w:t>
      </w:r>
    </w:p>
    <w:p w14:paraId="49889291" w14:textId="77777777" w:rsidR="00673F4E" w:rsidRDefault="004F19BE">
      <w:pPr>
        <w:numPr>
          <w:ilvl w:val="0"/>
          <w:numId w:val="1"/>
        </w:numPr>
        <w:spacing w:after="240"/>
        <w:rPr>
          <w:color w:val="222222"/>
          <w:sz w:val="24"/>
          <w:szCs w:val="24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b/>
          <w:bCs/>
          <w:color w:val="303030"/>
          <w:sz w:val="21"/>
          <w:szCs w:val="21"/>
          <w:highlight w:val="white"/>
        </w:rPr>
        <w:t>14+ Points: GO.</w:t>
      </w:r>
      <w:r>
        <w:rPr>
          <w:color w:val="303030"/>
          <w:sz w:val="21"/>
          <w:szCs w:val="21"/>
          <w:highlight w:val="white"/>
        </w:rPr>
        <w:t xml:space="preserve"> A healthy, viable opportunity.</w:t>
      </w:r>
    </w:p>
    <w:sectPr w:rsidR="00673F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4D5A5" w14:textId="77777777" w:rsidR="004F19BE" w:rsidRDefault="004F19BE">
      <w:pPr>
        <w:spacing w:line="240" w:lineRule="auto"/>
      </w:pPr>
      <w:r>
        <w:separator/>
      </w:r>
    </w:p>
  </w:endnote>
  <w:endnote w:type="continuationSeparator" w:id="0">
    <w:p w14:paraId="3DEEC669" w14:textId="77777777" w:rsidR="004F19BE" w:rsidRDefault="004F1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959F65-97D5-4513-B0B3-8237B3F7C78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801A02-1AC9-42D2-9E0E-A198337A0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A76AD" w14:textId="77777777" w:rsidR="009331EB" w:rsidRDefault="0093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258"/>
      <w:gridCol w:w="2257"/>
      <w:gridCol w:w="2257"/>
      <w:gridCol w:w="2257"/>
    </w:tblGrid>
    <w:tr w:rsidR="00726159" w14:paraId="218F2F01" w14:textId="77777777" w:rsidTr="00726159">
      <w:trPr>
        <w:trHeight w:val="300"/>
      </w:trPr>
      <w:tc>
        <w:tcPr>
          <w:tcW w:w="2258" w:type="dxa"/>
        </w:tcPr>
        <w:p w14:paraId="333C9418" w14:textId="63CCCF2B" w:rsidR="00726159" w:rsidRDefault="00726159" w:rsidP="0C6C5B64">
          <w:pPr>
            <w:pStyle w:val="Header"/>
            <w:ind w:left="-115"/>
          </w:pPr>
        </w:p>
      </w:tc>
      <w:tc>
        <w:tcPr>
          <w:tcW w:w="2257" w:type="dxa"/>
        </w:tcPr>
        <w:p w14:paraId="05725EA6" w14:textId="4126B034" w:rsidR="00726159" w:rsidRDefault="00726159" w:rsidP="0C6C5B64">
          <w:pPr>
            <w:pStyle w:val="Header"/>
            <w:jc w:val="center"/>
          </w:pPr>
        </w:p>
      </w:tc>
      <w:tc>
        <w:tcPr>
          <w:tcW w:w="2257" w:type="dxa"/>
        </w:tcPr>
        <w:p w14:paraId="455CA22C" w14:textId="3CA5CDF3" w:rsidR="00726159" w:rsidRDefault="00726159" w:rsidP="0C6C5B64">
          <w:pPr>
            <w:pStyle w:val="Header"/>
            <w:jc w:val="center"/>
          </w:pPr>
        </w:p>
      </w:tc>
      <w:tc>
        <w:tcPr>
          <w:tcW w:w="2257" w:type="dxa"/>
        </w:tcPr>
        <w:p w14:paraId="3CA44608" w14:textId="5A438921" w:rsidR="00726159" w:rsidRDefault="00726159" w:rsidP="0C6C5B64">
          <w:pPr>
            <w:pStyle w:val="Header"/>
            <w:ind w:right="-115"/>
            <w:jc w:val="right"/>
          </w:pPr>
        </w:p>
      </w:tc>
    </w:tr>
  </w:tbl>
  <w:p w14:paraId="1356CB96" w14:textId="3FDAADFB" w:rsidR="0C6C5B64" w:rsidRDefault="00442631" w:rsidP="0C6C5B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C9C84D" wp14:editId="3B3AAB4F">
              <wp:simplePos x="0" y="0"/>
              <wp:positionH relativeFrom="margin">
                <wp:align>center</wp:align>
              </wp:positionH>
              <wp:positionV relativeFrom="paragraph">
                <wp:posOffset>-716280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FD28E8" id="Group 4" o:spid="_x0000_s1026" style="position:absolute;margin-left:0;margin-top:-56.4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DFOjTHfAAAACQ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E2C6A" w14:textId="77777777" w:rsidR="009331EB" w:rsidRDefault="0093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7B00A" w14:textId="77777777" w:rsidR="004F19BE" w:rsidRDefault="004F19BE">
      <w:pPr>
        <w:spacing w:line="240" w:lineRule="auto"/>
      </w:pPr>
      <w:r>
        <w:separator/>
      </w:r>
    </w:p>
  </w:footnote>
  <w:footnote w:type="continuationSeparator" w:id="0">
    <w:p w14:paraId="60061E4C" w14:textId="77777777" w:rsidR="004F19BE" w:rsidRDefault="004F19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27064" w14:textId="77777777" w:rsidR="009331EB" w:rsidRDefault="00933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DC188" w14:textId="77777777" w:rsidR="009331EB" w:rsidRDefault="009331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92FD" w14:textId="77777777" w:rsidR="009331EB" w:rsidRDefault="00933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61FE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177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4E"/>
    <w:rsid w:val="0036222C"/>
    <w:rsid w:val="00442631"/>
    <w:rsid w:val="004F19BE"/>
    <w:rsid w:val="00673F4E"/>
    <w:rsid w:val="00726159"/>
    <w:rsid w:val="00917EB4"/>
    <w:rsid w:val="009331EB"/>
    <w:rsid w:val="0C6C5B64"/>
    <w:rsid w:val="76E5A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F5C55"/>
  <w15:docId w15:val="{5C32BEEE-85C2-468B-AB81-9474DBDAE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0C6C5B64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0C6C5B64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1C3E1F-0CFD-432C-9372-A488CC758493}">
  <ds:schemaRefs>
    <ds:schemaRef ds:uri="http://www.w3.org/XML/1998/namespace"/>
    <ds:schemaRef ds:uri="a815bb10-6b89-4000-baa5-e4a92457095b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0747810-fa30-4e08-8122-1e89d97d97e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9A7E5A-7EDC-412E-8033-A120106A9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E9636-898D-4655-A5FA-0C1BFF69D2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445</Words>
  <Characters>2345</Characters>
  <Application>Microsoft Office Word</Application>
  <DocSecurity>0</DocSecurity>
  <Lines>58</Lines>
  <Paragraphs>38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6</cp:revision>
  <dcterms:created xsi:type="dcterms:W3CDTF">2026-02-23T15:15:00Z</dcterms:created>
  <dcterms:modified xsi:type="dcterms:W3CDTF">2026-02-24T10:35:00Z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